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B4622" w14:textId="61A83CCC" w:rsidR="00B46B32" w:rsidRDefault="00B46B32" w:rsidP="00B46B32">
      <w:pPr>
        <w:spacing w:line="240" w:lineRule="auto"/>
        <w:rPr>
          <w:b/>
          <w:bCs/>
        </w:rPr>
      </w:pPr>
      <w:r w:rsidRPr="00B46B32">
        <w:rPr>
          <w:b/>
          <w:bCs/>
        </w:rPr>
        <w:t xml:space="preserve">Příloha č. </w:t>
      </w:r>
      <w:r>
        <w:rPr>
          <w:b/>
          <w:bCs/>
        </w:rPr>
        <w:t>6</w:t>
      </w:r>
      <w:r w:rsidRPr="00B46B32">
        <w:rPr>
          <w:b/>
          <w:bCs/>
        </w:rPr>
        <w:t xml:space="preserve"> Specifikace plnění</w:t>
      </w:r>
    </w:p>
    <w:p w14:paraId="3D0F5DBD" w14:textId="2211EBAE" w:rsidR="003727EC" w:rsidRDefault="00B541E9" w:rsidP="007B10B1">
      <w:pPr>
        <w:spacing w:line="240" w:lineRule="auto"/>
        <w:jc w:val="center"/>
        <w:rPr>
          <w:b/>
          <w:bCs/>
        </w:rPr>
      </w:pPr>
      <w:r w:rsidRPr="007B10B1">
        <w:rPr>
          <w:b/>
          <w:bCs/>
        </w:rPr>
        <w:t>Popis funkčních požadavků m</w:t>
      </w:r>
      <w:r w:rsidR="000C6EE8" w:rsidRPr="007B10B1">
        <w:rPr>
          <w:b/>
          <w:bCs/>
        </w:rPr>
        <w:t>odul</w:t>
      </w:r>
      <w:r w:rsidRPr="007B10B1">
        <w:rPr>
          <w:b/>
          <w:bCs/>
        </w:rPr>
        <w:t>u</w:t>
      </w:r>
      <w:r w:rsidR="000C6EE8" w:rsidRPr="007B10B1">
        <w:rPr>
          <w:b/>
          <w:bCs/>
        </w:rPr>
        <w:t xml:space="preserve"> </w:t>
      </w:r>
      <w:r w:rsidR="00173510" w:rsidRPr="007B10B1">
        <w:rPr>
          <w:b/>
          <w:bCs/>
        </w:rPr>
        <w:t xml:space="preserve">PM – </w:t>
      </w:r>
      <w:r w:rsidR="00CC2AA5" w:rsidRPr="007B10B1">
        <w:rPr>
          <w:b/>
          <w:bCs/>
        </w:rPr>
        <w:t>Správa budov</w:t>
      </w:r>
    </w:p>
    <w:p w14:paraId="477AC27B" w14:textId="77777777" w:rsidR="007B10B1" w:rsidRPr="007B10B1" w:rsidRDefault="007B10B1" w:rsidP="007B10B1">
      <w:pPr>
        <w:spacing w:line="240" w:lineRule="auto"/>
        <w:jc w:val="center"/>
        <w:rPr>
          <w:b/>
          <w:bCs/>
        </w:rPr>
      </w:pPr>
    </w:p>
    <w:p w14:paraId="0779ED3C" w14:textId="4658F0E5" w:rsidR="00E97FA0" w:rsidRPr="007B10B1" w:rsidRDefault="00A246E4" w:rsidP="007B10B1">
      <w:pPr>
        <w:pStyle w:val="Nadpis3"/>
        <w:spacing w:line="240" w:lineRule="auto"/>
        <w:rPr>
          <w:color w:val="000000"/>
          <w:sz w:val="18"/>
          <w:szCs w:val="18"/>
        </w:rPr>
      </w:pPr>
      <w:bookmarkStart w:id="0" w:name="_Toc187238246"/>
      <w:r w:rsidRPr="007B10B1">
        <w:t xml:space="preserve">ID </w:t>
      </w:r>
      <w:r w:rsidR="007B10B1" w:rsidRPr="007B10B1">
        <w:t>39</w:t>
      </w:r>
      <w:r w:rsidRPr="007B10B1">
        <w:t xml:space="preserve"> – </w:t>
      </w:r>
      <w:bookmarkEnd w:id="0"/>
      <w:r w:rsidR="00E97FA0" w:rsidRPr="007B10B1">
        <w:t>Přenesení do S/4HANA a rozvoj</w:t>
      </w:r>
      <w:r w:rsidR="00E97FA0" w:rsidRPr="007B10B1">
        <w:rPr>
          <w:color w:val="000000" w:themeColor="text1"/>
          <w:sz w:val="18"/>
          <w:szCs w:val="18"/>
        </w:rPr>
        <w:t xml:space="preserve">  </w:t>
      </w:r>
    </w:p>
    <w:p w14:paraId="1282D69A" w14:textId="7F80B3AD" w:rsidR="00A246E4" w:rsidRPr="007B10B1" w:rsidRDefault="00E97FA0" w:rsidP="007B10B1">
      <w:pPr>
        <w:pStyle w:val="Nadpis3"/>
        <w:spacing w:line="240" w:lineRule="auto"/>
        <w:rPr>
          <w:b w:val="0"/>
          <w:bCs w:val="0"/>
        </w:rPr>
      </w:pPr>
      <w:r w:rsidRPr="007B10B1">
        <w:rPr>
          <w:color w:val="000000"/>
          <w:sz w:val="18"/>
        </w:rPr>
        <w:t xml:space="preserve">  </w:t>
      </w:r>
    </w:p>
    <w:p w14:paraId="66F09048" w14:textId="36C22A19" w:rsidR="000008BE" w:rsidRPr="007B10B1" w:rsidRDefault="000008BE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>Současný stav</w:t>
      </w:r>
    </w:p>
    <w:p w14:paraId="21522290" w14:textId="4D1653D9" w:rsidR="00F47CE4" w:rsidRPr="007B10B1" w:rsidRDefault="00F47CE4" w:rsidP="007B10B1">
      <w:pPr>
        <w:spacing w:line="240" w:lineRule="auto"/>
        <w:jc w:val="both"/>
      </w:pPr>
      <w:r w:rsidRPr="007B10B1">
        <w:t>Primární funkcí systému je</w:t>
      </w:r>
      <w:r w:rsidR="00662ACA" w:rsidRPr="007B10B1">
        <w:t xml:space="preserve"> pokrytí</w:t>
      </w:r>
      <w:r w:rsidRPr="007B10B1">
        <w:t xml:space="preserve"> proces</w:t>
      </w:r>
      <w:r w:rsidR="00662ACA" w:rsidRPr="007B10B1">
        <w:t>u</w:t>
      </w:r>
      <w:r w:rsidRPr="007B10B1">
        <w:t xml:space="preserve"> hodnocení stavu budov v SŽ. V systému se vytváří </w:t>
      </w:r>
      <w:r w:rsidR="00662ACA" w:rsidRPr="007B10B1">
        <w:t xml:space="preserve">PM </w:t>
      </w:r>
      <w:r w:rsidRPr="007B10B1">
        <w:t>zakázk</w:t>
      </w:r>
      <w:r w:rsidR="00662ACA" w:rsidRPr="007B10B1">
        <w:t>a</w:t>
      </w:r>
      <w:r w:rsidRPr="007B10B1">
        <w:t xml:space="preserve"> (z plánů údržby i manuálně), v rámci které je vytvořena kontrolovaná dávka v modulu QM. Na kontrolované dávce probíhá samotné hodnocení budov uživateli na jednotlivých</w:t>
      </w:r>
      <w:r w:rsidR="00662ACA" w:rsidRPr="007B10B1">
        <w:t xml:space="preserve"> hodnotí</w:t>
      </w:r>
      <w:r w:rsidR="004532C5" w:rsidRPr="007B10B1">
        <w:t>cí</w:t>
      </w:r>
      <w:r w:rsidR="00662ACA" w:rsidRPr="007B10B1">
        <w:t>ch</w:t>
      </w:r>
      <w:r w:rsidRPr="007B10B1">
        <w:t xml:space="preserve"> atributech.</w:t>
      </w:r>
    </w:p>
    <w:p w14:paraId="68A1552E" w14:textId="77777777" w:rsidR="000008BE" w:rsidRPr="007B10B1" w:rsidRDefault="000008BE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>Architektura řešení</w:t>
      </w:r>
    </w:p>
    <w:p w14:paraId="104DC77D" w14:textId="02D4E15E" w:rsidR="000008BE" w:rsidRPr="007B10B1" w:rsidRDefault="000008BE" w:rsidP="007B10B1">
      <w:pPr>
        <w:spacing w:line="240" w:lineRule="auto"/>
        <w:jc w:val="both"/>
      </w:pPr>
      <w:r>
        <w:t>Řešení zahrnuje nastavení v SAP GUI, které je určeno zejména pro práci klíčových uživatelů</w:t>
      </w:r>
      <w:r w:rsidR="00662ACA">
        <w:t xml:space="preserve"> a metodiků</w:t>
      </w:r>
      <w:r>
        <w:t>, dále prostředí SAP FIORI a prostředí mobilní aplikace (SAP Service and Asset Manager)</w:t>
      </w:r>
      <w:r w:rsidR="00F47CE4">
        <w:t xml:space="preserve">. Mobilní aplikace je </w:t>
      </w:r>
      <w:r w:rsidR="00B30AE1">
        <w:t>určena</w:t>
      </w:r>
      <w:r w:rsidR="00F47CE4">
        <w:t xml:space="preserve"> </w:t>
      </w:r>
      <w:r w:rsidR="00B30AE1">
        <w:t xml:space="preserve">pro práci v terénu, pro </w:t>
      </w:r>
      <w:r w:rsidR="00F47CE4">
        <w:t xml:space="preserve">zadávání </w:t>
      </w:r>
      <w:r w:rsidR="4CAEE4CE">
        <w:t>hodnocení</w:t>
      </w:r>
      <w:r w:rsidR="007B10B1">
        <w:t xml:space="preserve"> budov</w:t>
      </w:r>
      <w:r w:rsidR="00B30AE1">
        <w:t>, pořizování fotografické dokumentace atd.</w:t>
      </w:r>
      <w:r>
        <w:t>.</w:t>
      </w:r>
    </w:p>
    <w:p w14:paraId="12EAD0F8" w14:textId="77777777" w:rsidR="000008BE" w:rsidRPr="007B10B1" w:rsidRDefault="000008BE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 xml:space="preserve">Kmenová data </w:t>
      </w:r>
    </w:p>
    <w:p w14:paraId="288BE96F" w14:textId="33027874" w:rsidR="00912F3E" w:rsidRPr="007B10B1" w:rsidRDefault="00912F3E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>Technická místa</w:t>
      </w:r>
    </w:p>
    <w:p w14:paraId="555F634E" w14:textId="0D3E393C" w:rsidR="000008BE" w:rsidRPr="007B10B1" w:rsidRDefault="000008BE" w:rsidP="007B10B1">
      <w:pPr>
        <w:spacing w:line="240" w:lineRule="auto"/>
        <w:jc w:val="both"/>
      </w:pPr>
      <w:r w:rsidRPr="007B10B1">
        <w:t xml:space="preserve">Technická místa budov jsou </w:t>
      </w:r>
      <w:r w:rsidR="007B10B1" w:rsidRPr="007B10B1">
        <w:t>založena</w:t>
      </w:r>
      <w:r w:rsidRPr="007B10B1">
        <w:t xml:space="preserve"> pomocí synchronizace z</w:t>
      </w:r>
      <w:r w:rsidR="00912F3E" w:rsidRPr="007B10B1">
        <w:t> objektů bud</w:t>
      </w:r>
      <w:r w:rsidR="00662ACA" w:rsidRPr="007B10B1">
        <w:t>ov</w:t>
      </w:r>
      <w:r w:rsidR="00912F3E" w:rsidRPr="007B10B1">
        <w:t xml:space="preserve"> </w:t>
      </w:r>
      <w:r w:rsidRPr="007B10B1">
        <w:t>modulu SAP RE-FX (</w:t>
      </w:r>
      <w:r w:rsidR="00912F3E" w:rsidRPr="007B10B1">
        <w:t xml:space="preserve">aktuálně </w:t>
      </w:r>
      <w:r w:rsidRPr="007B10B1">
        <w:t>založeno cca 8000 budov)</w:t>
      </w:r>
      <w:r w:rsidR="00912F3E" w:rsidRPr="007B10B1">
        <w:t>.</w:t>
      </w:r>
      <w:r w:rsidRPr="007B10B1">
        <w:t xml:space="preserve"> </w:t>
      </w:r>
    </w:p>
    <w:p w14:paraId="47717D6E" w14:textId="77777777" w:rsidR="000008BE" w:rsidRPr="007B10B1" w:rsidRDefault="000008BE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>Vybavení</w:t>
      </w:r>
    </w:p>
    <w:p w14:paraId="450AA68C" w14:textId="2801BBD8" w:rsidR="00912F3E" w:rsidRPr="007B10B1" w:rsidRDefault="00912F3E" w:rsidP="007B10B1">
      <w:pPr>
        <w:spacing w:line="240" w:lineRule="auto"/>
        <w:jc w:val="both"/>
      </w:pPr>
      <w:r w:rsidRPr="007B10B1">
        <w:t>Představují jednotlivá zařízení, která jsou nainstalována na budovách</w:t>
      </w:r>
      <w:r w:rsidR="00662ACA" w:rsidRPr="007B10B1">
        <w:t>.</w:t>
      </w:r>
    </w:p>
    <w:p w14:paraId="722383AC" w14:textId="407C18F7" w:rsidR="000008BE" w:rsidRPr="007B10B1" w:rsidRDefault="000008BE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 xml:space="preserve">Použité objekty SAP PM </w:t>
      </w:r>
      <w:r w:rsidR="00B30AE1" w:rsidRPr="007B10B1">
        <w:rPr>
          <w:b/>
          <w:bCs/>
        </w:rPr>
        <w:t>použité v řešení</w:t>
      </w:r>
    </w:p>
    <w:p w14:paraId="577F3F57" w14:textId="576BE45C" w:rsidR="000008BE" w:rsidRPr="007B10B1" w:rsidRDefault="000008BE" w:rsidP="007B10B1">
      <w:pPr>
        <w:pStyle w:val="Odstavecseseznamem"/>
        <w:numPr>
          <w:ilvl w:val="0"/>
          <w:numId w:val="22"/>
        </w:numPr>
        <w:spacing w:line="240" w:lineRule="auto"/>
        <w:jc w:val="both"/>
      </w:pPr>
      <w:r w:rsidRPr="007B10B1">
        <w:t>PM zakázka</w:t>
      </w:r>
      <w:r w:rsidR="000E3488" w:rsidRPr="007B10B1">
        <w:t xml:space="preserve"> – </w:t>
      </w:r>
      <w:r w:rsidR="00912F3E" w:rsidRPr="007B10B1">
        <w:t>založeno 11 druhů</w:t>
      </w:r>
    </w:p>
    <w:p w14:paraId="47ADCF23" w14:textId="77777777" w:rsidR="000008BE" w:rsidRPr="007B10B1" w:rsidRDefault="000008BE" w:rsidP="007B10B1">
      <w:pPr>
        <w:pStyle w:val="Odstavecseseznamem"/>
        <w:numPr>
          <w:ilvl w:val="0"/>
          <w:numId w:val="22"/>
        </w:numPr>
        <w:spacing w:line="240" w:lineRule="auto"/>
        <w:jc w:val="both"/>
      </w:pPr>
      <w:r w:rsidRPr="007B10B1">
        <w:t>Plán údržby</w:t>
      </w:r>
    </w:p>
    <w:p w14:paraId="71F04615" w14:textId="77777777" w:rsidR="000008BE" w:rsidRPr="007B10B1" w:rsidRDefault="000008BE" w:rsidP="007B10B1">
      <w:pPr>
        <w:pStyle w:val="Odstavecseseznamem"/>
        <w:numPr>
          <w:ilvl w:val="0"/>
          <w:numId w:val="22"/>
        </w:numPr>
        <w:spacing w:line="240" w:lineRule="auto"/>
        <w:jc w:val="both"/>
      </w:pPr>
      <w:r w:rsidRPr="007B10B1">
        <w:t>PM hlášení</w:t>
      </w:r>
    </w:p>
    <w:p w14:paraId="29BD81B3" w14:textId="7D66D7F7" w:rsidR="000008BE" w:rsidRPr="007B10B1" w:rsidRDefault="000008BE" w:rsidP="007B10B1">
      <w:pPr>
        <w:pStyle w:val="Odstavecseseznamem"/>
        <w:numPr>
          <w:ilvl w:val="0"/>
          <w:numId w:val="22"/>
        </w:numPr>
        <w:spacing w:line="240" w:lineRule="auto"/>
        <w:jc w:val="both"/>
      </w:pPr>
      <w:r w:rsidRPr="007B10B1">
        <w:t>Kontrolovaná dávka SAP QM</w:t>
      </w:r>
      <w:r w:rsidR="000E3488" w:rsidRPr="007B10B1">
        <w:t xml:space="preserve"> </w:t>
      </w:r>
    </w:p>
    <w:p w14:paraId="6625836C" w14:textId="4E5A287E" w:rsidR="000008BE" w:rsidRPr="007B10B1" w:rsidRDefault="000E3488" w:rsidP="007B10B1">
      <w:pPr>
        <w:pStyle w:val="Odstavecseseznamem"/>
        <w:numPr>
          <w:ilvl w:val="0"/>
          <w:numId w:val="22"/>
        </w:numPr>
        <w:spacing w:line="240" w:lineRule="auto"/>
        <w:jc w:val="both"/>
      </w:pPr>
      <w:r w:rsidRPr="007B10B1">
        <w:t>Pracovní postupy (návody)</w:t>
      </w:r>
    </w:p>
    <w:p w14:paraId="7C6B9B4E" w14:textId="3B0851A9" w:rsidR="003F5565" w:rsidRPr="007B10B1" w:rsidRDefault="003F5565" w:rsidP="007B10B1">
      <w:pPr>
        <w:pStyle w:val="Odstavecseseznamem"/>
        <w:numPr>
          <w:ilvl w:val="0"/>
          <w:numId w:val="22"/>
        </w:numPr>
        <w:spacing w:line="240" w:lineRule="auto"/>
        <w:jc w:val="both"/>
      </w:pPr>
      <w:r w:rsidRPr="007B10B1">
        <w:t>Klasifikace</w:t>
      </w:r>
    </w:p>
    <w:p w14:paraId="19DF1791" w14:textId="77777777" w:rsidR="00AA0822" w:rsidRPr="007B10B1" w:rsidRDefault="00AA0822" w:rsidP="007B10B1">
      <w:pPr>
        <w:pStyle w:val="Odstavecseseznamem"/>
        <w:numPr>
          <w:ilvl w:val="0"/>
          <w:numId w:val="22"/>
        </w:numPr>
        <w:spacing w:line="240" w:lineRule="auto"/>
        <w:jc w:val="both"/>
      </w:pPr>
      <w:r w:rsidRPr="007B10B1">
        <w:t>W</w:t>
      </w:r>
      <w:r w:rsidR="00FC0616" w:rsidRPr="007B10B1">
        <w:t>orkflow</w:t>
      </w:r>
    </w:p>
    <w:p w14:paraId="673BADDF" w14:textId="77777777" w:rsidR="00AA0822" w:rsidRPr="007B10B1" w:rsidRDefault="00AA0822" w:rsidP="007B10B1">
      <w:pPr>
        <w:pStyle w:val="Odstavecseseznamem"/>
        <w:numPr>
          <w:ilvl w:val="1"/>
          <w:numId w:val="22"/>
        </w:numPr>
        <w:spacing w:line="240" w:lineRule="auto"/>
        <w:jc w:val="both"/>
      </w:pPr>
      <w:r w:rsidRPr="007B10B1">
        <w:t>Kontrolní WF při deaktivaci TM budovy</w:t>
      </w:r>
    </w:p>
    <w:p w14:paraId="0D708EC7" w14:textId="2B8DD013" w:rsidR="00AA0822" w:rsidRPr="007B10B1" w:rsidRDefault="00AA0822" w:rsidP="007B10B1">
      <w:pPr>
        <w:pStyle w:val="Odstavecseseznamem"/>
        <w:numPr>
          <w:ilvl w:val="1"/>
          <w:numId w:val="22"/>
        </w:numPr>
        <w:spacing w:line="240" w:lineRule="auto"/>
        <w:jc w:val="both"/>
      </w:pPr>
      <w:r w:rsidRPr="007B10B1">
        <w:t>Schvalovací WF při dokončení hodnocení budovy</w:t>
      </w:r>
    </w:p>
    <w:p w14:paraId="558B0EBA" w14:textId="25DD1CBB" w:rsidR="00AA0822" w:rsidRPr="007B10B1" w:rsidRDefault="00AA0822" w:rsidP="007B10B1">
      <w:pPr>
        <w:pStyle w:val="Odstavecseseznamem"/>
        <w:numPr>
          <w:ilvl w:val="1"/>
          <w:numId w:val="22"/>
        </w:numPr>
        <w:spacing w:line="240" w:lineRule="auto"/>
        <w:jc w:val="both"/>
      </w:pPr>
      <w:r w:rsidRPr="007B10B1">
        <w:t>Kontrolní WF při změně druhu budovy (změna druhu TM)</w:t>
      </w:r>
    </w:p>
    <w:p w14:paraId="65C94395" w14:textId="12B2A0B5" w:rsidR="00AA0822" w:rsidRPr="007B10B1" w:rsidRDefault="00AA0822" w:rsidP="007B10B1">
      <w:pPr>
        <w:pStyle w:val="Odstavecseseznamem"/>
        <w:numPr>
          <w:ilvl w:val="1"/>
          <w:numId w:val="22"/>
        </w:numPr>
        <w:spacing w:line="240" w:lineRule="auto"/>
        <w:jc w:val="both"/>
      </w:pPr>
      <w:r w:rsidRPr="007B10B1">
        <w:t>WF při založení/ukončení budovy</w:t>
      </w:r>
    </w:p>
    <w:p w14:paraId="4EB521D3" w14:textId="1FE8FDA7" w:rsidR="00AA0822" w:rsidRPr="007B10B1" w:rsidRDefault="00AA0822" w:rsidP="007B10B1">
      <w:pPr>
        <w:pStyle w:val="Odstavecseseznamem"/>
        <w:numPr>
          <w:ilvl w:val="1"/>
          <w:numId w:val="22"/>
        </w:numPr>
        <w:spacing w:line="240" w:lineRule="auto"/>
        <w:jc w:val="both"/>
      </w:pPr>
      <w:r w:rsidRPr="007B10B1">
        <w:t>Potvrzovací WF na kolegy (princip druhých očí)</w:t>
      </w:r>
    </w:p>
    <w:p w14:paraId="4F537343" w14:textId="2ECF1540" w:rsidR="00912F3E" w:rsidRPr="007B10B1" w:rsidRDefault="00912F3E" w:rsidP="007B10B1">
      <w:pPr>
        <w:spacing w:line="240" w:lineRule="auto"/>
        <w:jc w:val="both"/>
        <w:rPr>
          <w:b/>
          <w:bCs/>
        </w:rPr>
      </w:pPr>
      <w:r w:rsidRPr="1DB96DD8">
        <w:rPr>
          <w:b/>
          <w:bCs/>
        </w:rPr>
        <w:t>Rozhraní</w:t>
      </w:r>
    </w:p>
    <w:p w14:paraId="7344C7EF" w14:textId="1310966E" w:rsidR="7820BFF6" w:rsidRDefault="7820BFF6" w:rsidP="1DB96DD8">
      <w:pPr>
        <w:spacing w:line="240" w:lineRule="auto"/>
        <w:jc w:val="both"/>
      </w:pPr>
      <w:r>
        <w:t>Synchronizace mezi moduly SAP RE-FX a SAP PM pro zakládání a aktu</w:t>
      </w:r>
      <w:r w:rsidR="36BBD820">
        <w:t>a</w:t>
      </w:r>
      <w:r>
        <w:t>lizaci TM budov</w:t>
      </w:r>
    </w:p>
    <w:p w14:paraId="482FA671" w14:textId="01B2ED81" w:rsidR="000008BE" w:rsidRPr="007B10B1" w:rsidRDefault="000008BE" w:rsidP="007B10B1">
      <w:pPr>
        <w:spacing w:line="240" w:lineRule="auto"/>
        <w:jc w:val="both"/>
      </w:pPr>
      <w:r>
        <w:t xml:space="preserve">Integrace s helpdeskovým nástroje JIRA pro zakládání 1 typu hlášení </w:t>
      </w:r>
      <w:r w:rsidR="00912F3E">
        <w:t>uživateli</w:t>
      </w:r>
      <w:r w:rsidR="003F5565">
        <w:t>, nezbytným procesem pro založení hlášení je přenos číselník</w:t>
      </w:r>
      <w:r w:rsidR="2ADCCE75">
        <w:t xml:space="preserve">u TM budov </w:t>
      </w:r>
      <w:r w:rsidR="003F5565">
        <w:t>do JIRA.</w:t>
      </w:r>
    </w:p>
    <w:p w14:paraId="56DCDF99" w14:textId="132D22B9" w:rsidR="00B30AE1" w:rsidRPr="007B10B1" w:rsidRDefault="00B30AE1" w:rsidP="007B10B1">
      <w:pPr>
        <w:spacing w:line="240" w:lineRule="auto"/>
        <w:jc w:val="both"/>
      </w:pPr>
      <w:r w:rsidRPr="007B10B1">
        <w:t>Integrace na mapové podklady</w:t>
      </w:r>
      <w:r w:rsidR="003F5565" w:rsidRPr="007B10B1">
        <w:t xml:space="preserve"> v SAP Service and Asset manager a SAP Fiori</w:t>
      </w:r>
      <w:r w:rsidR="007B10B1" w:rsidRPr="007B10B1">
        <w:t>.</w:t>
      </w:r>
    </w:p>
    <w:p w14:paraId="1EFC1EA9" w14:textId="0F0822D1" w:rsidR="00AA0822" w:rsidRPr="007B10B1" w:rsidRDefault="00AA0822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>Zákaznický reporting</w:t>
      </w:r>
    </w:p>
    <w:p w14:paraId="31FD3505" w14:textId="77393F44" w:rsidR="00B30AE1" w:rsidRPr="007B10B1" w:rsidRDefault="000008BE" w:rsidP="007B10B1">
      <w:pPr>
        <w:spacing w:line="240" w:lineRule="auto"/>
        <w:jc w:val="both"/>
      </w:pPr>
      <w:r>
        <w:lastRenderedPageBreak/>
        <w:t>Sada</w:t>
      </w:r>
      <w:r w:rsidR="00EF2287">
        <w:t xml:space="preserve"> implementovaných</w:t>
      </w:r>
      <w:r>
        <w:t xml:space="preserve"> zákaznických reportů</w:t>
      </w:r>
      <w:r w:rsidR="00EF2287">
        <w:t>, z nichž některé z nich umožnují i hromadný import dat do systém</w:t>
      </w:r>
      <w:r w:rsidR="726AF422">
        <w:t xml:space="preserve"> (repoty umožňující i hromadný export dat mají označení REXIM)</w:t>
      </w:r>
    </w:p>
    <w:p w14:paraId="3236955A" w14:textId="1C2C1482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REXIM10 – Významové položky</w:t>
      </w:r>
    </w:p>
    <w:p w14:paraId="55ACAB4A" w14:textId="53F08B9D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REXIM12 – Opotřebení budov S</w:t>
      </w:r>
    </w:p>
    <w:p w14:paraId="05052E68" w14:textId="3A1367E6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REX15 – Vývoj opotřebení budov S</w:t>
      </w:r>
    </w:p>
    <w:p w14:paraId="45FE0759" w14:textId="71973925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REX20 – Opotřebení lokalit</w:t>
      </w:r>
    </w:p>
    <w:p w14:paraId="193A4BF3" w14:textId="688F6FA7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REX30 – Žebříček nádražních budov</w:t>
      </w:r>
    </w:p>
    <w:p w14:paraId="67A51D86" w14:textId="0D38E6CE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REX40 – Žebříček P a O budov</w:t>
      </w:r>
    </w:p>
    <w:p w14:paraId="6CFFB229" w14:textId="777F67BB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REX50 – Žebříček lokalit</w:t>
      </w:r>
    </w:p>
    <w:p w14:paraId="4ADBFE4B" w14:textId="3A5C1C1F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REX60 – Žebříček závad</w:t>
      </w:r>
    </w:p>
    <w:p w14:paraId="3F60C056" w14:textId="0D351974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REX70 – Roční plány</w:t>
      </w:r>
    </w:p>
    <w:p w14:paraId="279D46D2" w14:textId="6986A406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REX80 – Víceleté plány</w:t>
      </w:r>
    </w:p>
    <w:p w14:paraId="1C2DFDC0" w14:textId="4C64B9ED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REX90 – Ukončené objekty</w:t>
      </w:r>
    </w:p>
    <w:p w14:paraId="264617B5" w14:textId="13CDBF7B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REX95 – Protokoly přehled</w:t>
      </w:r>
    </w:p>
    <w:p w14:paraId="07472FB8" w14:textId="7C36E142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REX96 – Protokoly další info</w:t>
      </w:r>
    </w:p>
    <w:p w14:paraId="3F905491" w14:textId="2B3C142A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REXIM110 – Vybavení, plány</w:t>
      </w:r>
    </w:p>
    <w:p w14:paraId="019AF3F3" w14:textId="0DB193E0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REX110 – Přehled předaných</w:t>
      </w:r>
    </w:p>
    <w:p w14:paraId="6043F926" w14:textId="65DBBE01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REX120 – Přehled záruk</w:t>
      </w:r>
    </w:p>
    <w:p w14:paraId="587592B1" w14:textId="4DC0958F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REXIM130 – Seznam zařízen</w:t>
      </w:r>
    </w:p>
    <w:p w14:paraId="735613EE" w14:textId="45E07EE8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REXIM140 – Konstrukční celky</w:t>
      </w:r>
    </w:p>
    <w:p w14:paraId="295FC7D5" w14:textId="5025B46A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REX150 – Přehled všech objektů</w:t>
      </w:r>
    </w:p>
    <w:p w14:paraId="46CE7511" w14:textId="1DE2B2C9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REXIM160 – Seznam partnerů</w:t>
      </w:r>
    </w:p>
    <w:p w14:paraId="784A59E8" w14:textId="10DA9E2F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REX170 – Přehled odeslání REM</w:t>
      </w:r>
    </w:p>
    <w:p w14:paraId="64F8F971" w14:textId="7D48B8F4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DSH10 - Grafy</w:t>
      </w:r>
    </w:p>
    <w:p w14:paraId="72C1542B" w14:textId="77777777" w:rsidR="00C17E31" w:rsidRDefault="00C17E31" w:rsidP="007B10B1">
      <w:pPr>
        <w:spacing w:line="240" w:lineRule="auto"/>
        <w:jc w:val="both"/>
        <w:rPr>
          <w:b/>
          <w:bCs/>
        </w:rPr>
      </w:pPr>
    </w:p>
    <w:p w14:paraId="39395C93" w14:textId="634BEC9E" w:rsidR="000008BE" w:rsidRPr="007B10B1" w:rsidRDefault="00FE1F9A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>FIORI</w:t>
      </w:r>
    </w:p>
    <w:p w14:paraId="17950072" w14:textId="5A7B5ADA" w:rsidR="00FE1F9A" w:rsidRPr="007B10B1" w:rsidRDefault="00FE1F9A" w:rsidP="007B10B1">
      <w:pPr>
        <w:spacing w:line="240" w:lineRule="auto"/>
        <w:jc w:val="both"/>
      </w:pPr>
      <w:r>
        <w:t>Jsou nastaveny uživatelsky definované dlaždice FIORI. Počet dlaždic je v současnosti cca 50.</w:t>
      </w:r>
      <w:r w:rsidR="0CC7E4B1">
        <w:t xml:space="preserve"> Fiori aplikace zobrazují obraz transakcí SAP GUI v prostředí FIORI.</w:t>
      </w:r>
    </w:p>
    <w:p w14:paraId="2AE6C11D" w14:textId="3B7C1107" w:rsidR="00662ACA" w:rsidRPr="007B10B1" w:rsidRDefault="00662ACA" w:rsidP="007B10B1">
      <w:pPr>
        <w:spacing w:line="240" w:lineRule="auto"/>
        <w:jc w:val="both"/>
      </w:pPr>
      <w:r w:rsidRPr="007B10B1">
        <w:t>Ukázka současného nastavení FIORI dlaždic</w:t>
      </w:r>
    </w:p>
    <w:p w14:paraId="7A0ED61C" w14:textId="23A69C83" w:rsidR="00662ACA" w:rsidRPr="007B10B1" w:rsidRDefault="00662ACA" w:rsidP="007B10B1">
      <w:pPr>
        <w:spacing w:line="240" w:lineRule="auto"/>
        <w:jc w:val="both"/>
      </w:pPr>
      <w:r w:rsidRPr="007B10B1">
        <w:rPr>
          <w:noProof/>
        </w:rPr>
        <w:lastRenderedPageBreak/>
        <w:drawing>
          <wp:inline distT="0" distB="0" distL="0" distR="0" wp14:anchorId="49CF1E10" wp14:editId="7F8FD7E6">
            <wp:extent cx="5760720" cy="4151630"/>
            <wp:effectExtent l="0" t="0" r="0" b="1270"/>
            <wp:docPr id="628130508" name="Obrázek 1" descr="Obsah obrázku text, snímek obrazovky, Písmo, softwar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130508" name="Obrázek 1" descr="Obsah obrázku text, snímek obrazovky, Písmo, software&#10;&#10;Popis byl vytvořen automaticky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5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05859D" w14:textId="1AE395C7" w:rsidR="00662ACA" w:rsidRPr="007B10B1" w:rsidRDefault="00662ACA" w:rsidP="007B10B1">
      <w:pPr>
        <w:spacing w:line="240" w:lineRule="auto"/>
        <w:jc w:val="both"/>
      </w:pPr>
      <w:r w:rsidRPr="007B10B1">
        <w:rPr>
          <w:noProof/>
        </w:rPr>
        <w:drawing>
          <wp:inline distT="0" distB="0" distL="0" distR="0" wp14:anchorId="27F5C08C" wp14:editId="3B913F47">
            <wp:extent cx="5760720" cy="3702685"/>
            <wp:effectExtent l="0" t="0" r="0" b="0"/>
            <wp:docPr id="1283925281" name="Obrázek 1" descr="Obsah obrázku text, snímek obrazovky, software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925281" name="Obrázek 1" descr="Obsah obrázku text, snímek obrazovky, software, Písmo&#10;&#10;Popis byl vytvořen automaticky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0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B308D" w14:textId="66FBDA3F" w:rsidR="0009280E" w:rsidRPr="007B10B1" w:rsidRDefault="00CC2AA5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>Požadovaný stav</w:t>
      </w:r>
    </w:p>
    <w:p w14:paraId="5E06B590" w14:textId="69F80FF8" w:rsidR="00CC2AA5" w:rsidRPr="007B10B1" w:rsidRDefault="00CC2AA5" w:rsidP="007B10B1">
      <w:pPr>
        <w:spacing w:line="240" w:lineRule="auto"/>
        <w:jc w:val="both"/>
      </w:pPr>
      <w:r w:rsidRPr="007B10B1">
        <w:t>Při implementaci SAP S/4HANA musí být zohledněn provedený vývoj (včetně zákaznických úprav) a</w:t>
      </w:r>
      <w:r w:rsidR="00662ACA" w:rsidRPr="007B10B1">
        <w:t xml:space="preserve"> jeho</w:t>
      </w:r>
      <w:r w:rsidRPr="007B10B1">
        <w:t xml:space="preserve"> přenesen</w:t>
      </w:r>
      <w:r w:rsidR="00662ACA" w:rsidRPr="007B10B1">
        <w:t>í</w:t>
      </w:r>
      <w:r w:rsidRPr="007B10B1">
        <w:t xml:space="preserve"> do nového systému.</w:t>
      </w:r>
    </w:p>
    <w:p w14:paraId="4A99114F" w14:textId="5CB402A6" w:rsidR="00134421" w:rsidRPr="007B10B1" w:rsidRDefault="00134421" w:rsidP="007B10B1">
      <w:pPr>
        <w:spacing w:line="240" w:lineRule="auto"/>
        <w:jc w:val="both"/>
      </w:pPr>
      <w:r w:rsidRPr="007B10B1">
        <w:lastRenderedPageBreak/>
        <w:t>Současné řešení</w:t>
      </w:r>
      <w:r w:rsidR="00745544" w:rsidRPr="007B10B1">
        <w:t xml:space="preserve"> v</w:t>
      </w:r>
      <w:r w:rsidRPr="007B10B1">
        <w:t xml:space="preserve"> SAP FIORI</w:t>
      </w:r>
      <w:r w:rsidR="00745544" w:rsidRPr="007B10B1">
        <w:t xml:space="preserve"> je vystavěno na technologii zobrazují transakce SAP GUI ve webovém prostředí FIORI</w:t>
      </w:r>
      <w:r w:rsidR="000008BE" w:rsidRPr="007B10B1">
        <w:t>, toto řešení bylo zvoleno na základě technických omezení vycházející ze současné verze SAP ECC 6.0. Požadavkem je převedení již naimplementovaných SAP FIORI aplikací do technologie odpovídající SAP S4HANA.</w:t>
      </w:r>
    </w:p>
    <w:sectPr w:rsidR="00134421" w:rsidRPr="007B1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57849" w14:textId="77777777" w:rsidR="002E7DA4" w:rsidRDefault="002E7DA4" w:rsidP="00E20899">
      <w:pPr>
        <w:spacing w:after="0" w:line="240" w:lineRule="auto"/>
      </w:pPr>
      <w:r>
        <w:separator/>
      </w:r>
    </w:p>
  </w:endnote>
  <w:endnote w:type="continuationSeparator" w:id="0">
    <w:p w14:paraId="7CBE9AEA" w14:textId="77777777" w:rsidR="002E7DA4" w:rsidRDefault="002E7DA4" w:rsidP="00E20899">
      <w:pPr>
        <w:spacing w:after="0" w:line="240" w:lineRule="auto"/>
      </w:pPr>
      <w:r>
        <w:continuationSeparator/>
      </w:r>
    </w:p>
  </w:endnote>
  <w:endnote w:type="continuationNotice" w:id="1">
    <w:p w14:paraId="2CDD26C7" w14:textId="77777777" w:rsidR="002E7DA4" w:rsidRDefault="002E7D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8C1FF" w14:textId="77777777" w:rsidR="002E7DA4" w:rsidRDefault="002E7DA4" w:rsidP="00E20899">
      <w:pPr>
        <w:spacing w:after="0" w:line="240" w:lineRule="auto"/>
      </w:pPr>
      <w:r>
        <w:separator/>
      </w:r>
    </w:p>
  </w:footnote>
  <w:footnote w:type="continuationSeparator" w:id="0">
    <w:p w14:paraId="44B769AE" w14:textId="77777777" w:rsidR="002E7DA4" w:rsidRDefault="002E7DA4" w:rsidP="00E20899">
      <w:pPr>
        <w:spacing w:after="0" w:line="240" w:lineRule="auto"/>
      </w:pPr>
      <w:r>
        <w:continuationSeparator/>
      </w:r>
    </w:p>
  </w:footnote>
  <w:footnote w:type="continuationNotice" w:id="1">
    <w:p w14:paraId="745CFD94" w14:textId="77777777" w:rsidR="002E7DA4" w:rsidRDefault="002E7DA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BD"/>
    <w:multiLevelType w:val="multilevel"/>
    <w:tmpl w:val="B10CB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E6545C"/>
    <w:multiLevelType w:val="hybridMultilevel"/>
    <w:tmpl w:val="0BD68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95084"/>
    <w:multiLevelType w:val="multilevel"/>
    <w:tmpl w:val="47342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521D65"/>
    <w:multiLevelType w:val="multilevel"/>
    <w:tmpl w:val="B248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AA473E"/>
    <w:multiLevelType w:val="hybridMultilevel"/>
    <w:tmpl w:val="D9F670FC"/>
    <w:lvl w:ilvl="0" w:tplc="DE7CF46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018E6"/>
    <w:multiLevelType w:val="multilevel"/>
    <w:tmpl w:val="EB58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FC013C"/>
    <w:multiLevelType w:val="multilevel"/>
    <w:tmpl w:val="ECE4A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C334EA"/>
    <w:multiLevelType w:val="multilevel"/>
    <w:tmpl w:val="515A6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90E00D6"/>
    <w:multiLevelType w:val="hybridMultilevel"/>
    <w:tmpl w:val="3D1A5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D3380"/>
    <w:multiLevelType w:val="multilevel"/>
    <w:tmpl w:val="DAFCB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D95456A"/>
    <w:multiLevelType w:val="multilevel"/>
    <w:tmpl w:val="7F48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0A0511D"/>
    <w:multiLevelType w:val="multilevel"/>
    <w:tmpl w:val="FAD4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14D3C65"/>
    <w:multiLevelType w:val="multilevel"/>
    <w:tmpl w:val="6F688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DA1DF0"/>
    <w:multiLevelType w:val="multilevel"/>
    <w:tmpl w:val="4EEE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6E6756C"/>
    <w:multiLevelType w:val="hybridMultilevel"/>
    <w:tmpl w:val="BC522004"/>
    <w:lvl w:ilvl="0" w:tplc="012893C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035C02"/>
    <w:multiLevelType w:val="multilevel"/>
    <w:tmpl w:val="1DEA0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ECF7566"/>
    <w:multiLevelType w:val="multilevel"/>
    <w:tmpl w:val="5060D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1BB0605"/>
    <w:multiLevelType w:val="multilevel"/>
    <w:tmpl w:val="20A25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672636F"/>
    <w:multiLevelType w:val="multilevel"/>
    <w:tmpl w:val="E8F80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B904082"/>
    <w:multiLevelType w:val="multilevel"/>
    <w:tmpl w:val="08D4F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892538D"/>
    <w:multiLevelType w:val="multilevel"/>
    <w:tmpl w:val="0644A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E0F596A"/>
    <w:multiLevelType w:val="hybridMultilevel"/>
    <w:tmpl w:val="F48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471BFD"/>
    <w:multiLevelType w:val="multilevel"/>
    <w:tmpl w:val="CF38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88263617">
    <w:abstractNumId w:val="7"/>
  </w:num>
  <w:num w:numId="2" w16cid:durableId="671567056">
    <w:abstractNumId w:val="9"/>
  </w:num>
  <w:num w:numId="3" w16cid:durableId="1694727091">
    <w:abstractNumId w:val="2"/>
  </w:num>
  <w:num w:numId="4" w16cid:durableId="1029061125">
    <w:abstractNumId w:val="17"/>
  </w:num>
  <w:num w:numId="5" w16cid:durableId="1529176667">
    <w:abstractNumId w:val="3"/>
  </w:num>
  <w:num w:numId="6" w16cid:durableId="1559323482">
    <w:abstractNumId w:val="0"/>
  </w:num>
  <w:num w:numId="7" w16cid:durableId="1152788953">
    <w:abstractNumId w:val="12"/>
  </w:num>
  <w:num w:numId="8" w16cid:durableId="1240555826">
    <w:abstractNumId w:val="6"/>
  </w:num>
  <w:num w:numId="9" w16cid:durableId="986589865">
    <w:abstractNumId w:val="22"/>
  </w:num>
  <w:num w:numId="10" w16cid:durableId="493448351">
    <w:abstractNumId w:val="15"/>
  </w:num>
  <w:num w:numId="11" w16cid:durableId="720053488">
    <w:abstractNumId w:val="11"/>
  </w:num>
  <w:num w:numId="12" w16cid:durableId="2104717106">
    <w:abstractNumId w:val="10"/>
  </w:num>
  <w:num w:numId="13" w16cid:durableId="929241805">
    <w:abstractNumId w:val="20"/>
  </w:num>
  <w:num w:numId="14" w16cid:durableId="1308363377">
    <w:abstractNumId w:val="16"/>
  </w:num>
  <w:num w:numId="15" w16cid:durableId="1980915860">
    <w:abstractNumId w:val="13"/>
  </w:num>
  <w:num w:numId="16" w16cid:durableId="381365386">
    <w:abstractNumId w:val="18"/>
  </w:num>
  <w:num w:numId="17" w16cid:durableId="755593123">
    <w:abstractNumId w:val="19"/>
  </w:num>
  <w:num w:numId="18" w16cid:durableId="586959219">
    <w:abstractNumId w:val="5"/>
  </w:num>
  <w:num w:numId="19" w16cid:durableId="1641611811">
    <w:abstractNumId w:val="8"/>
  </w:num>
  <w:num w:numId="20" w16cid:durableId="357894390">
    <w:abstractNumId w:val="4"/>
  </w:num>
  <w:num w:numId="21" w16cid:durableId="698973288">
    <w:abstractNumId w:val="14"/>
  </w:num>
  <w:num w:numId="22" w16cid:durableId="78523427">
    <w:abstractNumId w:val="21"/>
  </w:num>
  <w:num w:numId="23" w16cid:durableId="715198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EE8"/>
    <w:rsid w:val="000008BE"/>
    <w:rsid w:val="00076443"/>
    <w:rsid w:val="0009280E"/>
    <w:rsid w:val="000C6EE8"/>
    <w:rsid w:val="000E2631"/>
    <w:rsid w:val="000E3488"/>
    <w:rsid w:val="00127826"/>
    <w:rsid w:val="00134421"/>
    <w:rsid w:val="00162D36"/>
    <w:rsid w:val="0017035E"/>
    <w:rsid w:val="00173510"/>
    <w:rsid w:val="00175E7C"/>
    <w:rsid w:val="001867DD"/>
    <w:rsid w:val="00290EAA"/>
    <w:rsid w:val="002B218A"/>
    <w:rsid w:val="002B78A9"/>
    <w:rsid w:val="002E7DA4"/>
    <w:rsid w:val="002F3922"/>
    <w:rsid w:val="0034426B"/>
    <w:rsid w:val="00355829"/>
    <w:rsid w:val="003727EC"/>
    <w:rsid w:val="00397498"/>
    <w:rsid w:val="003A4F24"/>
    <w:rsid w:val="003C6E6F"/>
    <w:rsid w:val="003D2DC3"/>
    <w:rsid w:val="003F5565"/>
    <w:rsid w:val="00432EBF"/>
    <w:rsid w:val="0044734B"/>
    <w:rsid w:val="00451AD4"/>
    <w:rsid w:val="004532C5"/>
    <w:rsid w:val="004852B1"/>
    <w:rsid w:val="00494EB4"/>
    <w:rsid w:val="004C66EE"/>
    <w:rsid w:val="005561CD"/>
    <w:rsid w:val="00576883"/>
    <w:rsid w:val="0060443A"/>
    <w:rsid w:val="00611C00"/>
    <w:rsid w:val="00662ACA"/>
    <w:rsid w:val="006910BC"/>
    <w:rsid w:val="006D1BE4"/>
    <w:rsid w:val="006F5CCE"/>
    <w:rsid w:val="00714E11"/>
    <w:rsid w:val="00745544"/>
    <w:rsid w:val="007A1113"/>
    <w:rsid w:val="007B10B1"/>
    <w:rsid w:val="008F5DDD"/>
    <w:rsid w:val="00912F3E"/>
    <w:rsid w:val="009E1D9E"/>
    <w:rsid w:val="00A246E4"/>
    <w:rsid w:val="00A563A5"/>
    <w:rsid w:val="00A743A3"/>
    <w:rsid w:val="00AA0822"/>
    <w:rsid w:val="00AB4D72"/>
    <w:rsid w:val="00AB734C"/>
    <w:rsid w:val="00AC6C14"/>
    <w:rsid w:val="00AE768A"/>
    <w:rsid w:val="00B30AE1"/>
    <w:rsid w:val="00B438E7"/>
    <w:rsid w:val="00B46B32"/>
    <w:rsid w:val="00B541E9"/>
    <w:rsid w:val="00BF6A6B"/>
    <w:rsid w:val="00C17E31"/>
    <w:rsid w:val="00C30DFC"/>
    <w:rsid w:val="00C91748"/>
    <w:rsid w:val="00C92FC3"/>
    <w:rsid w:val="00CC2AA5"/>
    <w:rsid w:val="00CF69B6"/>
    <w:rsid w:val="00D15EED"/>
    <w:rsid w:val="00DB4298"/>
    <w:rsid w:val="00E10E63"/>
    <w:rsid w:val="00E20899"/>
    <w:rsid w:val="00E80159"/>
    <w:rsid w:val="00E97FA0"/>
    <w:rsid w:val="00EB02B6"/>
    <w:rsid w:val="00EF2287"/>
    <w:rsid w:val="00F47CE4"/>
    <w:rsid w:val="00F73BD8"/>
    <w:rsid w:val="00F81FE8"/>
    <w:rsid w:val="00FC0616"/>
    <w:rsid w:val="00FE1F9A"/>
    <w:rsid w:val="00FF2800"/>
    <w:rsid w:val="0181C625"/>
    <w:rsid w:val="0CC7E4B1"/>
    <w:rsid w:val="0E6C5B52"/>
    <w:rsid w:val="0E9511D2"/>
    <w:rsid w:val="130934CE"/>
    <w:rsid w:val="1BAEA8CF"/>
    <w:rsid w:val="1DB96DD8"/>
    <w:rsid w:val="2ADCCE75"/>
    <w:rsid w:val="2B83B74F"/>
    <w:rsid w:val="2D27D403"/>
    <w:rsid w:val="346DC562"/>
    <w:rsid w:val="36BBD820"/>
    <w:rsid w:val="3CC67D3A"/>
    <w:rsid w:val="4B999501"/>
    <w:rsid w:val="4CAEE4CE"/>
    <w:rsid w:val="56C54E96"/>
    <w:rsid w:val="63790BB7"/>
    <w:rsid w:val="65C91C6C"/>
    <w:rsid w:val="726AF422"/>
    <w:rsid w:val="72A0EA9F"/>
    <w:rsid w:val="746F8C3E"/>
    <w:rsid w:val="7820BFF6"/>
    <w:rsid w:val="7849D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6A48"/>
  <w15:chartTrackingRefBased/>
  <w15:docId w15:val="{293A85E9-45C2-4697-8CC3-7286CA9D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0C6EE8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C6EE8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E20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0899"/>
  </w:style>
  <w:style w:type="paragraph" w:styleId="Zpat">
    <w:name w:val="footer"/>
    <w:basedOn w:val="Normln"/>
    <w:link w:val="ZpatChar"/>
    <w:uiPriority w:val="99"/>
    <w:unhideWhenUsed/>
    <w:rsid w:val="00E20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0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4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6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6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9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4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5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2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4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2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0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6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8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2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27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0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6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0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0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4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21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4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2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5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3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8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9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8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7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7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56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8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8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9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0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7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5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8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0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0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6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10" ma:contentTypeDescription="Vytvoří nový dokument" ma:contentTypeScope="" ma:versionID="f421fdfd3840ca43ccb66fc3ebe847e0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521d796bb5e150ad2f75e75f3d0f574e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115400-38fb-4741-b78d-c4a5fb37c6d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754CCD-E415-4F58-80D0-DC10ADEA2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D1A3B-01CB-4D71-AA5B-5A172740CCC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e4115400-38fb-4741-b78d-c4a5fb37c6d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BEC1BDE-5BF0-4B14-BA0F-69B0EE7C49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457</Words>
  <Characters>2702</Characters>
  <Application>Microsoft Office Word</Application>
  <DocSecurity>0</DocSecurity>
  <Lines>22</Lines>
  <Paragraphs>6</Paragraphs>
  <ScaleCrop>false</ScaleCrop>
  <Company>Správa železnic, státní organizace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Jedlička Petr, Ing.</dc:creator>
  <cp:keywords/>
  <dc:description/>
  <cp:lastModifiedBy>Zajíčková Veronika, Mgr.</cp:lastModifiedBy>
  <cp:revision>2</cp:revision>
  <dcterms:created xsi:type="dcterms:W3CDTF">2025-01-14T07:32:00Z</dcterms:created>
  <dcterms:modified xsi:type="dcterms:W3CDTF">2025-01-14T07:32:00Z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MediaServiceImageTags">
    <vt:lpwstr/>
  </property>
</Properties>
</file>